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A4B" w:rsidRPr="00806A4B" w:rsidRDefault="00806A4B" w:rsidP="00806A4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06A4B">
        <w:rPr>
          <w:rFonts w:ascii="Times New Roman" w:eastAsia="Times New Roman" w:hAnsi="Times New Roman" w:cs="Times New Roman"/>
          <w:b/>
          <w:bCs/>
          <w:color w:val="000000"/>
          <w:sz w:val="27"/>
          <w:szCs w:val="27"/>
          <w:lang w:eastAsia="ru-RU"/>
        </w:rPr>
        <w:t>Основные понятия</w:t>
      </w:r>
    </w:p>
    <w:p w:rsidR="00806A4B" w:rsidRPr="00806A4B" w:rsidRDefault="00806A4B" w:rsidP="00806A4B">
      <w:pPr>
        <w:spacing w:before="100" w:beforeAutospacing="1" w:after="100" w:afterAutospacing="1" w:line="240" w:lineRule="auto"/>
        <w:rPr>
          <w:rFonts w:ascii="Times New Roman" w:eastAsia="Times New Roman" w:hAnsi="Times New Roman" w:cs="Times New Roman"/>
          <w:i/>
          <w:iCs/>
          <w:color w:val="000000"/>
          <w:sz w:val="20"/>
          <w:szCs w:val="20"/>
          <w:lang w:eastAsia="ru-RU"/>
        </w:rPr>
      </w:pPr>
      <w:r w:rsidRPr="00806A4B">
        <w:rPr>
          <w:rFonts w:ascii="Times New Roman" w:eastAsia="Times New Roman" w:hAnsi="Times New Roman" w:cs="Times New Roman"/>
          <w:b/>
          <w:bCs/>
          <w:i/>
          <w:iCs/>
          <w:color w:val="000000"/>
          <w:sz w:val="20"/>
          <w:szCs w:val="20"/>
          <w:lang w:eastAsia="ru-RU"/>
        </w:rPr>
        <w:t>Затраты на охрану окружающей среды</w:t>
      </w:r>
      <w:r w:rsidRPr="00806A4B">
        <w:rPr>
          <w:rFonts w:ascii="Times New Roman" w:eastAsia="Times New Roman" w:hAnsi="Times New Roman" w:cs="Times New Roman"/>
          <w:b/>
          <w:bCs/>
          <w:i/>
          <w:iCs/>
          <w:color w:val="000000"/>
          <w:sz w:val="20"/>
          <w:lang w:eastAsia="ru-RU"/>
        </w:rPr>
        <w:t> </w:t>
      </w:r>
      <w:r w:rsidRPr="00806A4B">
        <w:rPr>
          <w:rFonts w:ascii="Times New Roman" w:eastAsia="Times New Roman" w:hAnsi="Times New Roman" w:cs="Times New Roman"/>
          <w:i/>
          <w:iCs/>
          <w:color w:val="000000"/>
          <w:sz w:val="20"/>
          <w:szCs w:val="20"/>
          <w:lang w:eastAsia="ru-RU"/>
        </w:rPr>
        <w:t>- сумма расходов предприятий (организаций, учреждений), индивидуальных предпринимателей, государства (бюджетов Российской Федерации, субъектов Российской Федерации, муниципальных образований), имеющих целевое природоохранное назначение (сбор, очистка, уменьшение, предотвращение или устранение загрязняющих веществ, загрязнения как такового или любых других видов и элементов деградации окружающей среды, которые, в свою очередь, являются следствием предпринимательской активности), осуществляемых за счет всех источников финансирования.</w:t>
      </w:r>
    </w:p>
    <w:p w:rsidR="00806A4B" w:rsidRPr="00806A4B" w:rsidRDefault="00806A4B" w:rsidP="00806A4B">
      <w:pPr>
        <w:spacing w:before="100" w:beforeAutospacing="1" w:after="100" w:afterAutospacing="1" w:line="240" w:lineRule="auto"/>
        <w:rPr>
          <w:rFonts w:ascii="Times New Roman" w:eastAsia="Times New Roman" w:hAnsi="Times New Roman" w:cs="Times New Roman"/>
          <w:i/>
          <w:iCs/>
          <w:color w:val="000000"/>
          <w:sz w:val="20"/>
          <w:szCs w:val="20"/>
          <w:lang w:eastAsia="ru-RU"/>
        </w:rPr>
      </w:pPr>
      <w:r w:rsidRPr="00806A4B">
        <w:rPr>
          <w:rFonts w:ascii="Times New Roman" w:eastAsia="Times New Roman" w:hAnsi="Times New Roman" w:cs="Times New Roman"/>
          <w:b/>
          <w:bCs/>
          <w:i/>
          <w:iCs/>
          <w:color w:val="000000"/>
          <w:sz w:val="20"/>
          <w:szCs w:val="20"/>
          <w:lang w:eastAsia="ru-RU"/>
        </w:rPr>
        <w:t>Текущие (эксплуатационные) затраты на охрану окружающей среды</w:t>
      </w:r>
      <w:r w:rsidRPr="00806A4B">
        <w:rPr>
          <w:rFonts w:ascii="Times New Roman" w:eastAsia="Times New Roman" w:hAnsi="Times New Roman" w:cs="Times New Roman"/>
          <w:b/>
          <w:bCs/>
          <w:i/>
          <w:iCs/>
          <w:color w:val="000000"/>
          <w:sz w:val="20"/>
          <w:lang w:eastAsia="ru-RU"/>
        </w:rPr>
        <w:t> </w:t>
      </w:r>
      <w:r w:rsidRPr="00806A4B">
        <w:rPr>
          <w:rFonts w:ascii="Times New Roman" w:eastAsia="Times New Roman" w:hAnsi="Times New Roman" w:cs="Times New Roman"/>
          <w:i/>
          <w:iCs/>
          <w:color w:val="000000"/>
          <w:sz w:val="20"/>
          <w:szCs w:val="20"/>
          <w:lang w:eastAsia="ru-RU"/>
        </w:rPr>
        <w:t>- все расходы по охране окружающей среды и рациональному использованию природных ресурсов, осуществляемые за счет собственных или заемных средств предприятия, либо средств государственного бюджета.</w:t>
      </w:r>
    </w:p>
    <w:p w:rsidR="00806A4B" w:rsidRPr="00806A4B" w:rsidRDefault="00806A4B" w:rsidP="00806A4B">
      <w:pPr>
        <w:spacing w:before="100" w:beforeAutospacing="1" w:after="100" w:afterAutospacing="1" w:line="240" w:lineRule="auto"/>
        <w:rPr>
          <w:rFonts w:ascii="Times New Roman" w:eastAsia="Times New Roman" w:hAnsi="Times New Roman" w:cs="Times New Roman"/>
          <w:i/>
          <w:iCs/>
          <w:color w:val="000000"/>
          <w:sz w:val="20"/>
          <w:szCs w:val="20"/>
          <w:lang w:eastAsia="ru-RU"/>
        </w:rPr>
      </w:pPr>
      <w:r w:rsidRPr="00806A4B">
        <w:rPr>
          <w:rFonts w:ascii="Times New Roman" w:eastAsia="Times New Roman" w:hAnsi="Times New Roman" w:cs="Times New Roman"/>
          <w:i/>
          <w:iCs/>
          <w:color w:val="000000"/>
          <w:sz w:val="20"/>
          <w:szCs w:val="20"/>
          <w:lang w:eastAsia="ru-RU"/>
        </w:rPr>
        <w:t>К ним относятся следующие затраты: по содержанию и эксплуатации основных фондов природоохранного назначения; на мероприятия по сохранению и восстановлению качества природной среды, нарушенной в результате производственной деятельности; на мероприятия по снижению вредного воздействия производственной деятельности на окружающую среду; по обращению с отходами производства и потребления; на организацию контроля за выбросами (сбросами), отходами производства и потребления в окружающую среду и за качественным состоянием компонентов природной среды; на научно-исследовательские работы и работы по экологическому образованию кадров.</w:t>
      </w:r>
    </w:p>
    <w:p w:rsidR="00806A4B" w:rsidRPr="00806A4B" w:rsidRDefault="00806A4B" w:rsidP="00806A4B">
      <w:pPr>
        <w:spacing w:before="100" w:beforeAutospacing="1" w:after="100" w:afterAutospacing="1" w:line="240" w:lineRule="auto"/>
        <w:rPr>
          <w:rFonts w:ascii="Times New Roman" w:eastAsia="Times New Roman" w:hAnsi="Times New Roman" w:cs="Times New Roman"/>
          <w:i/>
          <w:iCs/>
          <w:color w:val="000000"/>
          <w:sz w:val="20"/>
          <w:szCs w:val="20"/>
          <w:lang w:eastAsia="ru-RU"/>
        </w:rPr>
      </w:pPr>
      <w:r w:rsidRPr="00806A4B">
        <w:rPr>
          <w:rFonts w:ascii="Times New Roman" w:eastAsia="Times New Roman" w:hAnsi="Times New Roman" w:cs="Times New Roman"/>
          <w:i/>
          <w:iCs/>
          <w:color w:val="000000"/>
          <w:sz w:val="20"/>
          <w:szCs w:val="20"/>
          <w:lang w:eastAsia="ru-RU"/>
        </w:rPr>
        <w:t>Не включаются средства, выплаченные другим предприятиям (организациям) за прием и очистку сточных вод, хранение и уничтожение отходов, а также амортизационные отчисления, начисленные на основные фонды по охране окружающей среды.</w:t>
      </w:r>
    </w:p>
    <w:p w:rsidR="00806A4B" w:rsidRPr="00806A4B" w:rsidRDefault="00806A4B" w:rsidP="00806A4B">
      <w:pPr>
        <w:spacing w:after="0" w:line="240" w:lineRule="auto"/>
        <w:rPr>
          <w:rFonts w:ascii="Times New Roman" w:eastAsia="Times New Roman" w:hAnsi="Times New Roman" w:cs="Times New Roman"/>
          <w:b/>
          <w:bCs/>
          <w:i/>
          <w:iCs/>
          <w:color w:val="000000"/>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570"/>
        <w:gridCol w:w="8785"/>
      </w:tblGrid>
      <w:tr w:rsidR="00806A4B" w:rsidRPr="00806A4B" w:rsidTr="00806A4B">
        <w:trPr>
          <w:tblCellSpacing w:w="0" w:type="dxa"/>
        </w:trPr>
        <w:tc>
          <w:tcPr>
            <w:tcW w:w="570" w:type="dxa"/>
            <w:shd w:val="clear" w:color="auto" w:fill="F9F9F9"/>
            <w:vAlign w:val="center"/>
            <w:hideMark/>
          </w:tcPr>
          <w:p w:rsidR="00806A4B" w:rsidRPr="00806A4B" w:rsidRDefault="00AD1F8C" w:rsidP="00806A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pt;height:27pt"/>
              </w:pict>
            </w:r>
          </w:p>
        </w:tc>
        <w:tc>
          <w:tcPr>
            <w:tcW w:w="0" w:type="auto"/>
            <w:shd w:val="clear" w:color="auto" w:fill="E5E5F5"/>
            <w:vAlign w:val="center"/>
            <w:hideMark/>
          </w:tcPr>
          <w:p w:rsidR="00806A4B" w:rsidRPr="00806A4B" w:rsidRDefault="00806A4B" w:rsidP="00806A4B">
            <w:pPr>
              <w:spacing w:before="100" w:beforeAutospacing="1" w:after="100" w:afterAutospacing="1" w:line="240" w:lineRule="auto"/>
              <w:rPr>
                <w:rFonts w:ascii="Times New Roman" w:eastAsia="Times New Roman" w:hAnsi="Times New Roman" w:cs="Times New Roman"/>
                <w:sz w:val="24"/>
                <w:szCs w:val="24"/>
                <w:lang w:eastAsia="ru-RU"/>
              </w:rPr>
            </w:pPr>
            <w:r w:rsidRPr="00806A4B">
              <w:rPr>
                <w:rFonts w:ascii="Times New Roman" w:eastAsia="Times New Roman" w:hAnsi="Times New Roman" w:cs="Times New Roman"/>
                <w:b/>
                <w:bCs/>
                <w:sz w:val="24"/>
                <w:szCs w:val="24"/>
                <w:lang w:eastAsia="ru-RU"/>
              </w:rPr>
              <w:t>Источники и контакты</w:t>
            </w:r>
          </w:p>
        </w:tc>
      </w:tr>
    </w:tbl>
    <w:p w:rsidR="00806A4B" w:rsidRPr="00806A4B" w:rsidRDefault="00806A4B" w:rsidP="00806A4B">
      <w:pPr>
        <w:spacing w:before="100" w:beforeAutospacing="1" w:after="100" w:afterAutospacing="1" w:line="240" w:lineRule="auto"/>
        <w:rPr>
          <w:rFonts w:ascii="Times New Roman" w:eastAsia="Times New Roman" w:hAnsi="Times New Roman" w:cs="Times New Roman"/>
          <w:b/>
          <w:bCs/>
          <w:i/>
          <w:iCs/>
          <w:color w:val="000000"/>
          <w:sz w:val="20"/>
          <w:szCs w:val="20"/>
          <w:lang w:eastAsia="ru-RU"/>
        </w:rPr>
      </w:pPr>
      <w:r w:rsidRPr="00806A4B">
        <w:rPr>
          <w:rFonts w:ascii="Times New Roman" w:eastAsia="Times New Roman" w:hAnsi="Times New Roman" w:cs="Times New Roman"/>
          <w:b/>
          <w:bCs/>
          <w:i/>
          <w:iCs/>
          <w:color w:val="000000"/>
          <w:sz w:val="20"/>
          <w:szCs w:val="20"/>
          <w:lang w:eastAsia="ru-RU"/>
        </w:rPr>
        <w:t> </w:t>
      </w:r>
    </w:p>
    <w:tbl>
      <w:tblPr>
        <w:tblW w:w="9750" w:type="dxa"/>
        <w:jc w:val="center"/>
        <w:tblCellSpacing w:w="7" w:type="dxa"/>
        <w:shd w:val="clear" w:color="auto" w:fill="C6C6C6"/>
        <w:tblCellMar>
          <w:top w:w="30" w:type="dxa"/>
          <w:left w:w="30" w:type="dxa"/>
          <w:bottom w:w="30" w:type="dxa"/>
          <w:right w:w="30" w:type="dxa"/>
        </w:tblCellMar>
        <w:tblLook w:val="04A0" w:firstRow="1" w:lastRow="0" w:firstColumn="1" w:lastColumn="0" w:noHBand="0" w:noVBand="1"/>
      </w:tblPr>
      <w:tblGrid>
        <w:gridCol w:w="4487"/>
        <w:gridCol w:w="5263"/>
      </w:tblGrid>
      <w:tr w:rsidR="00806A4B" w:rsidRPr="00806A4B" w:rsidTr="00806A4B">
        <w:trPr>
          <w:tblCellSpacing w:w="7" w:type="dxa"/>
          <w:jc w:val="center"/>
        </w:trPr>
        <w:tc>
          <w:tcPr>
            <w:tcW w:w="2300" w:type="pct"/>
            <w:shd w:val="clear" w:color="auto" w:fill="E3E3E3"/>
            <w:vAlign w:val="center"/>
            <w:hideMark/>
          </w:tcPr>
          <w:p w:rsidR="00806A4B" w:rsidRPr="00806A4B" w:rsidRDefault="00806A4B" w:rsidP="00806A4B">
            <w:pPr>
              <w:spacing w:before="100" w:beforeAutospacing="1" w:after="100" w:afterAutospacing="1" w:line="240" w:lineRule="auto"/>
              <w:rPr>
                <w:rFonts w:ascii="Times New Roman" w:eastAsia="Times New Roman" w:hAnsi="Times New Roman" w:cs="Times New Roman"/>
                <w:sz w:val="24"/>
                <w:szCs w:val="24"/>
                <w:lang w:eastAsia="ru-RU"/>
              </w:rPr>
            </w:pPr>
            <w:r w:rsidRPr="00806A4B">
              <w:rPr>
                <w:rFonts w:ascii="Times New Roman" w:eastAsia="Times New Roman" w:hAnsi="Times New Roman" w:cs="Times New Roman"/>
                <w:b/>
                <w:bCs/>
                <w:i/>
                <w:iCs/>
                <w:sz w:val="24"/>
                <w:szCs w:val="24"/>
                <w:lang w:eastAsia="ru-RU"/>
              </w:rPr>
              <w:t>Источник</w:t>
            </w:r>
          </w:p>
        </w:tc>
        <w:tc>
          <w:tcPr>
            <w:tcW w:w="2700" w:type="pct"/>
            <w:shd w:val="clear" w:color="auto" w:fill="E3E3E3"/>
            <w:hideMark/>
          </w:tcPr>
          <w:p w:rsidR="00806A4B" w:rsidRPr="00086B09" w:rsidRDefault="00806A4B" w:rsidP="00806A4B">
            <w:pPr>
              <w:spacing w:before="100" w:beforeAutospacing="1" w:after="100" w:afterAutospacing="1" w:line="240" w:lineRule="auto"/>
              <w:rPr>
                <w:rFonts w:ascii="Times New Roman" w:eastAsia="Times New Roman" w:hAnsi="Times New Roman" w:cs="Times New Roman"/>
                <w:sz w:val="20"/>
                <w:szCs w:val="20"/>
                <w:lang w:val="en-US" w:eastAsia="ru-RU"/>
              </w:rPr>
            </w:pPr>
            <w:r w:rsidRPr="00086B09">
              <w:rPr>
                <w:rFonts w:ascii="Times New Roman" w:eastAsia="Times New Roman" w:hAnsi="Times New Roman" w:cs="Times New Roman"/>
                <w:bCs/>
                <w:sz w:val="20"/>
                <w:szCs w:val="20"/>
                <w:lang w:eastAsia="ru-RU"/>
              </w:rPr>
              <w:t>№4-OC</w:t>
            </w:r>
          </w:p>
        </w:tc>
      </w:tr>
      <w:tr w:rsidR="00806A4B" w:rsidRPr="00806A4B" w:rsidTr="00806A4B">
        <w:trPr>
          <w:tblCellSpacing w:w="7" w:type="dxa"/>
          <w:jc w:val="center"/>
        </w:trPr>
        <w:tc>
          <w:tcPr>
            <w:tcW w:w="2300" w:type="pct"/>
            <w:shd w:val="clear" w:color="auto" w:fill="F9F9F9"/>
            <w:vAlign w:val="center"/>
            <w:hideMark/>
          </w:tcPr>
          <w:p w:rsidR="00806A4B" w:rsidRPr="00806A4B" w:rsidRDefault="00806A4B" w:rsidP="00806A4B">
            <w:pPr>
              <w:spacing w:before="100" w:beforeAutospacing="1" w:after="100" w:afterAutospacing="1" w:line="240" w:lineRule="auto"/>
              <w:rPr>
                <w:rFonts w:ascii="Times New Roman" w:eastAsia="Times New Roman" w:hAnsi="Times New Roman" w:cs="Times New Roman"/>
                <w:sz w:val="24"/>
                <w:szCs w:val="24"/>
                <w:lang w:eastAsia="ru-RU"/>
              </w:rPr>
            </w:pPr>
            <w:r w:rsidRPr="00806A4B">
              <w:rPr>
                <w:rFonts w:ascii="Times New Roman" w:eastAsia="Times New Roman" w:hAnsi="Times New Roman" w:cs="Times New Roman"/>
                <w:b/>
                <w:bCs/>
                <w:i/>
                <w:iCs/>
                <w:sz w:val="24"/>
                <w:szCs w:val="24"/>
                <w:lang w:eastAsia="ru-RU"/>
              </w:rPr>
              <w:t>Периодичность</w:t>
            </w:r>
          </w:p>
        </w:tc>
        <w:tc>
          <w:tcPr>
            <w:tcW w:w="2700" w:type="pct"/>
            <w:shd w:val="clear" w:color="auto" w:fill="F9F9F9"/>
            <w:hideMark/>
          </w:tcPr>
          <w:p w:rsidR="00806A4B" w:rsidRPr="00086B09" w:rsidRDefault="00806A4B" w:rsidP="00052E8B">
            <w:pPr>
              <w:spacing w:before="100" w:beforeAutospacing="1" w:after="100" w:afterAutospacing="1" w:line="240" w:lineRule="auto"/>
              <w:rPr>
                <w:rFonts w:ascii="Times New Roman" w:eastAsia="Times New Roman" w:hAnsi="Times New Roman" w:cs="Times New Roman"/>
                <w:sz w:val="24"/>
                <w:szCs w:val="24"/>
                <w:lang w:val="en-US" w:eastAsia="ru-RU"/>
              </w:rPr>
            </w:pPr>
            <w:r w:rsidRPr="00086B09">
              <w:rPr>
                <w:rFonts w:ascii="Times New Roman" w:eastAsia="Times New Roman" w:hAnsi="Times New Roman" w:cs="Times New Roman"/>
                <w:bCs/>
                <w:i/>
                <w:iCs/>
                <w:sz w:val="24"/>
                <w:szCs w:val="24"/>
                <w:lang w:eastAsia="ru-RU"/>
              </w:rPr>
              <w:t>годовая</w:t>
            </w:r>
            <w:r w:rsidR="00052E8B" w:rsidRPr="00086B09">
              <w:rPr>
                <w:rFonts w:ascii="Times New Roman" w:eastAsia="Times New Roman" w:hAnsi="Times New Roman" w:cs="Times New Roman"/>
                <w:sz w:val="24"/>
                <w:szCs w:val="24"/>
                <w:lang w:val="en-US" w:eastAsia="ru-RU"/>
              </w:rPr>
              <w:t xml:space="preserve"> </w:t>
            </w:r>
          </w:p>
        </w:tc>
      </w:tr>
      <w:tr w:rsidR="00806A4B" w:rsidRPr="00806A4B" w:rsidTr="00806A4B">
        <w:trPr>
          <w:tblCellSpacing w:w="7" w:type="dxa"/>
          <w:jc w:val="center"/>
        </w:trPr>
        <w:tc>
          <w:tcPr>
            <w:tcW w:w="2300" w:type="pct"/>
            <w:shd w:val="clear" w:color="auto" w:fill="E3E3E3"/>
            <w:vAlign w:val="center"/>
            <w:hideMark/>
          </w:tcPr>
          <w:p w:rsidR="00806A4B" w:rsidRPr="00EA7308" w:rsidRDefault="00806A4B" w:rsidP="00806A4B">
            <w:pPr>
              <w:spacing w:before="100" w:beforeAutospacing="1" w:after="100" w:afterAutospacing="1" w:line="240" w:lineRule="auto"/>
              <w:rPr>
                <w:rFonts w:ascii="Times New Roman" w:eastAsia="Times New Roman" w:hAnsi="Times New Roman" w:cs="Times New Roman"/>
                <w:sz w:val="24"/>
                <w:szCs w:val="24"/>
                <w:lang w:val="en-US" w:eastAsia="ru-RU"/>
              </w:rPr>
            </w:pPr>
            <w:r w:rsidRPr="00806A4B">
              <w:rPr>
                <w:rFonts w:ascii="Times New Roman" w:eastAsia="Times New Roman" w:hAnsi="Times New Roman" w:cs="Times New Roman"/>
                <w:b/>
                <w:bCs/>
                <w:i/>
                <w:iCs/>
                <w:sz w:val="24"/>
                <w:szCs w:val="24"/>
                <w:lang w:eastAsia="ru-RU"/>
              </w:rPr>
              <w:t>Сроки обновления на сайте</w:t>
            </w:r>
          </w:p>
        </w:tc>
        <w:tc>
          <w:tcPr>
            <w:tcW w:w="2700" w:type="pct"/>
            <w:shd w:val="clear" w:color="auto" w:fill="E3E3E3"/>
            <w:hideMark/>
          </w:tcPr>
          <w:p w:rsidR="00806A4B" w:rsidRPr="00AD1F8C" w:rsidRDefault="00AD1F8C" w:rsidP="006548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7 мая</w:t>
            </w:r>
            <w:bookmarkStart w:id="0" w:name="_GoBack"/>
            <w:bookmarkEnd w:id="0"/>
          </w:p>
        </w:tc>
      </w:tr>
      <w:tr w:rsidR="00806A4B" w:rsidRPr="00EA7308" w:rsidTr="00806A4B">
        <w:trPr>
          <w:tblCellSpacing w:w="7" w:type="dxa"/>
          <w:jc w:val="center"/>
        </w:trPr>
        <w:tc>
          <w:tcPr>
            <w:tcW w:w="2300" w:type="pct"/>
            <w:shd w:val="clear" w:color="auto" w:fill="F9F9F9"/>
            <w:vAlign w:val="center"/>
            <w:hideMark/>
          </w:tcPr>
          <w:p w:rsidR="00806A4B" w:rsidRPr="00806A4B" w:rsidRDefault="00806A4B" w:rsidP="00806A4B">
            <w:pPr>
              <w:spacing w:before="100" w:beforeAutospacing="1" w:after="100" w:afterAutospacing="1" w:line="240" w:lineRule="auto"/>
              <w:rPr>
                <w:rFonts w:ascii="Times New Roman" w:eastAsia="Times New Roman" w:hAnsi="Times New Roman" w:cs="Times New Roman"/>
                <w:sz w:val="24"/>
                <w:szCs w:val="24"/>
                <w:lang w:eastAsia="ru-RU"/>
              </w:rPr>
            </w:pPr>
            <w:r w:rsidRPr="00806A4B">
              <w:rPr>
                <w:rFonts w:ascii="Times New Roman" w:eastAsia="Times New Roman" w:hAnsi="Times New Roman" w:cs="Times New Roman"/>
                <w:b/>
                <w:bCs/>
                <w:i/>
                <w:iCs/>
                <w:sz w:val="24"/>
                <w:szCs w:val="24"/>
                <w:lang w:eastAsia="ru-RU"/>
              </w:rPr>
              <w:t>Контакты</w:t>
            </w:r>
          </w:p>
        </w:tc>
        <w:tc>
          <w:tcPr>
            <w:tcW w:w="2700" w:type="pct"/>
            <w:shd w:val="clear" w:color="auto" w:fill="F9F9F9"/>
            <w:hideMark/>
          </w:tcPr>
          <w:p w:rsidR="00806A4B" w:rsidRPr="00EA7308" w:rsidRDefault="00EA7308" w:rsidP="00EA7308">
            <w:pPr>
              <w:spacing w:after="0" w:line="240" w:lineRule="auto"/>
              <w:rPr>
                <w:rFonts w:ascii="Times New Roman" w:eastAsia="Times New Roman" w:hAnsi="Times New Roman" w:cs="Times New Roman"/>
                <w:i/>
                <w:sz w:val="24"/>
                <w:szCs w:val="24"/>
                <w:lang w:eastAsia="ru-RU"/>
              </w:rPr>
            </w:pPr>
            <w:r w:rsidRPr="00EA7308">
              <w:rPr>
                <w:rFonts w:ascii="Times New Roman" w:eastAsia="Times New Roman" w:hAnsi="Times New Roman" w:cs="Times New Roman"/>
                <w:b/>
                <w:bCs/>
                <w:i/>
                <w:sz w:val="24"/>
                <w:szCs w:val="24"/>
                <w:lang w:eastAsia="ru-RU"/>
              </w:rPr>
              <w:t>Епифанова Татьяна Дмитриевна</w:t>
            </w:r>
            <w:r w:rsidR="00B17871" w:rsidRPr="00EA7308">
              <w:rPr>
                <w:rFonts w:ascii="Times New Roman" w:eastAsia="Times New Roman" w:hAnsi="Times New Roman" w:cs="Times New Roman"/>
                <w:b/>
                <w:bCs/>
                <w:i/>
                <w:sz w:val="24"/>
                <w:szCs w:val="24"/>
                <w:lang w:eastAsia="ru-RU"/>
              </w:rPr>
              <w:br/>
            </w:r>
            <w:r w:rsidR="00832AB0" w:rsidRPr="00AB1101">
              <w:rPr>
                <w:rFonts w:ascii="Times New Roman" w:eastAsia="Times New Roman" w:hAnsi="Times New Roman" w:cs="Times New Roman"/>
                <w:i/>
                <w:sz w:val="24"/>
                <w:szCs w:val="24"/>
                <w:lang w:eastAsia="ru-RU"/>
              </w:rPr>
              <w:t>т</w:t>
            </w:r>
            <w:r w:rsidR="00832AB0" w:rsidRPr="00EA7308">
              <w:rPr>
                <w:rFonts w:ascii="Times New Roman" w:eastAsia="Times New Roman" w:hAnsi="Times New Roman" w:cs="Times New Roman"/>
                <w:i/>
                <w:sz w:val="24"/>
                <w:szCs w:val="24"/>
                <w:lang w:eastAsia="ru-RU"/>
              </w:rPr>
              <w:t xml:space="preserve">. </w:t>
            </w:r>
            <w:r w:rsidR="00B17871" w:rsidRPr="00EA7308">
              <w:rPr>
                <w:rFonts w:ascii="Times New Roman" w:eastAsia="Times New Roman" w:hAnsi="Times New Roman" w:cs="Times New Roman"/>
                <w:i/>
                <w:sz w:val="24"/>
                <w:szCs w:val="24"/>
                <w:lang w:eastAsia="ru-RU"/>
              </w:rPr>
              <w:t>8 (8352) 39-78-87</w:t>
            </w:r>
            <w:r w:rsidR="00B17871" w:rsidRPr="00EA7308">
              <w:rPr>
                <w:rFonts w:ascii="Times New Roman" w:eastAsia="Times New Roman" w:hAnsi="Times New Roman" w:cs="Times New Roman"/>
                <w:i/>
                <w:sz w:val="24"/>
                <w:szCs w:val="24"/>
                <w:lang w:eastAsia="ru-RU"/>
              </w:rPr>
              <w:br/>
            </w:r>
            <w:hyperlink r:id="rId4" w:history="1">
              <w:r w:rsidR="00A45123" w:rsidRPr="0032624F">
                <w:rPr>
                  <w:rStyle w:val="a4"/>
                  <w:i/>
                  <w:iCs/>
                </w:rPr>
                <w:t>21.epifanovatd@rosstat.gov.ru</w:t>
              </w:r>
            </w:hyperlink>
          </w:p>
        </w:tc>
      </w:tr>
    </w:tbl>
    <w:p w:rsidR="00CF2E02" w:rsidRPr="00EA7308" w:rsidRDefault="00CF2E02"/>
    <w:sectPr w:rsidR="00CF2E02" w:rsidRPr="00EA7308" w:rsidSect="00CF2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06A4B"/>
    <w:rsid w:val="00052E8B"/>
    <w:rsid w:val="00086B09"/>
    <w:rsid w:val="000E393C"/>
    <w:rsid w:val="00167FA5"/>
    <w:rsid w:val="0032624F"/>
    <w:rsid w:val="003F25BA"/>
    <w:rsid w:val="00566508"/>
    <w:rsid w:val="006060EB"/>
    <w:rsid w:val="00654895"/>
    <w:rsid w:val="007E3BC0"/>
    <w:rsid w:val="00806A4B"/>
    <w:rsid w:val="00832AB0"/>
    <w:rsid w:val="008632EC"/>
    <w:rsid w:val="00A45123"/>
    <w:rsid w:val="00AB1101"/>
    <w:rsid w:val="00AD1F8C"/>
    <w:rsid w:val="00B17871"/>
    <w:rsid w:val="00BA3A98"/>
    <w:rsid w:val="00CF2E02"/>
    <w:rsid w:val="00EA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ABA8"/>
  <w15:docId w15:val="{65D355DA-2FD8-4E98-97D5-D10A465C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E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6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6A4B"/>
  </w:style>
  <w:style w:type="paragraph" w:customStyle="1" w:styleId="head">
    <w:name w:val="head"/>
    <w:basedOn w:val="a"/>
    <w:rsid w:val="00806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06A4B"/>
    <w:rPr>
      <w:color w:val="0000FF"/>
      <w:u w:val="single"/>
    </w:rPr>
  </w:style>
  <w:style w:type="character" w:styleId="a5">
    <w:name w:val="Unresolved Mention"/>
    <w:basedOn w:val="a0"/>
    <w:uiPriority w:val="99"/>
    <w:semiHidden/>
    <w:unhideWhenUsed/>
    <w:rsid w:val="00A45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0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21.epifanovatd@rossta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Эмма Леонидовна</dc:creator>
  <cp:lastModifiedBy>Епифанова Татьяна Дмитриевна</cp:lastModifiedBy>
  <cp:revision>5</cp:revision>
  <dcterms:created xsi:type="dcterms:W3CDTF">2021-03-30T10:22:00Z</dcterms:created>
  <dcterms:modified xsi:type="dcterms:W3CDTF">2024-03-29T06:39:00Z</dcterms:modified>
</cp:coreProperties>
</file>